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bidi w:val="0"/>
        <w:spacing w:before="0" w:after="0"/>
        <w:jc w:val="left"/>
        <w:rPr/>
      </w:pPr>
      <w:bookmarkStart w:id="0" w:name="ownership.xml.htm"/>
      <w:bookmarkStart w:id="1" w:name="ksownership"/>
      <w:bookmarkEnd w:id="0"/>
      <w:bookmarkEnd w:id="1"/>
      <w:r>
        <w:rPr/>
        <w:t xml:space="preserve">SEC Form 4 </w:t>
      </w:r>
    </w:p>
    <w:tbl>
      <w:tblPr>
        <w:tblW w:w="5000" w:type="pct"/>
        <w:jc w:val="left"/>
        <w:tblInd w:w="0" w:type="dxa"/>
        <w:tblLayout w:type="fixed"/>
        <w:tblCellMar>
          <w:top w:w="60" w:type="dxa"/>
          <w:left w:w="60" w:type="dxa"/>
          <w:bottom w:w="60" w:type="dxa"/>
          <w:right w:w="60" w:type="dxa"/>
        </w:tblCellMar>
      </w:tblPr>
      <w:tblGrid>
        <w:gridCol w:w="345"/>
        <w:gridCol w:w="1891"/>
        <w:gridCol w:w="5977"/>
        <w:gridCol w:w="1992"/>
      </w:tblGrid>
      <w:tr>
        <w:trPr/>
        <w:tc>
          <w:tcPr>
            <w:tcW w:w="2236" w:type="dxa"/>
            <w:gridSpan w:val="2"/>
            <w:tcBorders/>
          </w:tcPr>
          <w:p>
            <w:pPr>
              <w:pStyle w:val="TableContents"/>
              <w:bidi w:val="0"/>
              <w:spacing w:before="0" w:after="283"/>
              <w:jc w:val="center"/>
              <w:rPr>
                <w:rFonts w:ascii="arial;helvetica;sans-serif" w:hAnsi="arial;helvetica;sans-serif"/>
                <w:b/>
                <w:sz w:val="36"/>
              </w:rPr>
            </w:pPr>
            <w:r>
              <w:rPr>
                <w:rFonts w:ascii="arial;helvetica;sans-serif" w:hAnsi="arial;helvetica;sans-serif"/>
                <w:b/>
                <w:sz w:val="36"/>
              </w:rPr>
              <w:t>FORM 4</w:t>
            </w:r>
          </w:p>
        </w:tc>
        <w:tc>
          <w:tcPr>
            <w:tcW w:w="5977" w:type="dxa"/>
            <w:vMerge w:val="restart"/>
            <w:tcBorders/>
            <w:vAlign w:val="center"/>
          </w:tcPr>
          <w:p>
            <w:pPr>
              <w:pStyle w:val="TableContents"/>
              <w:bidi w:val="0"/>
              <w:spacing w:before="0" w:after="283"/>
              <w:jc w:val="left"/>
              <w:rPr/>
            </w:pPr>
            <w:r>
              <w:rPr>
                <w:rFonts w:ascii="arial;helvetica;sans-serif" w:hAnsi="arial;helvetica;sans-serif"/>
                <w:b/>
                <w:sz w:val="28"/>
              </w:rPr>
              <w:t>UNITED STATES SECURITIES AND EXCHANGE COMMISSION</w:t>
            </w:r>
            <w:r>
              <w:rPr/>
              <w:br/>
            </w:r>
            <w:r>
              <w:rPr>
                <w:rFonts w:ascii="arial;helvetica;sans-serif" w:hAnsi="arial;helvetica;sans-serif"/>
                <w:sz w:val="20"/>
              </w:rPr>
              <w:t>Washington, D.C. 20549</w:t>
            </w:r>
            <w:r>
              <w:rPr/>
              <w:br/>
              <w:br/>
            </w:r>
            <w:r>
              <w:rPr>
                <w:rFonts w:ascii="arial;helvetica;sans-serif" w:hAnsi="arial;helvetica;sans-serif"/>
                <w:b/>
                <w:sz w:val="28"/>
              </w:rPr>
              <w:t>STATEMENT OF CHANGES IN BENEFICIAL OWNERSHIP</w:t>
            </w:r>
            <w:r>
              <w:rPr/>
              <w:br/>
              <w:br/>
            </w:r>
            <w:r>
              <w:rPr>
                <w:rFonts w:ascii="arial;helvetica;sans-serif" w:hAnsi="arial;helvetica;sans-serif"/>
                <w:sz w:val="20"/>
              </w:rPr>
              <w:t>Filed pursuant to Section 16(a) of the Securities Exchange Act of 1934</w:t>
            </w:r>
            <w:r>
              <w:rPr/>
              <w:br/>
            </w:r>
            <w:r>
              <w:rPr>
                <w:rFonts w:ascii="arial;helvetica;sans-serif" w:hAnsi="arial;helvetica;sans-serif"/>
                <w:sz w:val="20"/>
              </w:rPr>
              <w:t>or Section 30(h) of the Investment Company Act of 1940</w:t>
            </w:r>
            <w:r>
              <w:rPr/>
              <w:t xml:space="preserve"> </w:t>
            </w:r>
          </w:p>
        </w:tc>
        <w:tc>
          <w:tcPr>
            <w:tcW w:w="1992" w:type="dxa"/>
            <w:vMerge w:val="restart"/>
            <w:tcBorders/>
          </w:tcPr>
          <w:p>
            <w:pPr>
              <w:pStyle w:val="TableContents"/>
              <w:bidi w:val="0"/>
              <w:spacing w:before="0" w:after="0"/>
              <w:jc w:val="center"/>
              <w:rPr/>
            </w:pPr>
            <w:r>
              <w:rPr/>
              <w:t xml:space="preserve">  </w:t>
            </w:r>
          </w:p>
          <w:tbl>
            <w:tblPr>
              <w:tblW w:w="5000" w:type="pct"/>
              <w:jc w:val="center"/>
              <w:tblInd w:w="0" w:type="dxa"/>
              <w:tblLayout w:type="fixed"/>
              <w:tblCellMar>
                <w:top w:w="28" w:type="dxa"/>
                <w:left w:w="28" w:type="dxa"/>
                <w:bottom w:w="28" w:type="dxa"/>
                <w:right w:w="28" w:type="dxa"/>
              </w:tblCellMar>
            </w:tblPr>
            <w:tblGrid>
              <w:gridCol w:w="1872"/>
            </w:tblGrid>
            <w:tr>
              <w:trPr/>
              <w:tc>
                <w:tcPr>
                  <w:tcW w:w="1872" w:type="dxa"/>
                  <w:tcBorders>
                    <w:top w:val="double" w:sz="2" w:space="0" w:color="808080"/>
                    <w:left w:val="double" w:sz="2" w:space="0" w:color="808080"/>
                    <w:bottom w:val="double" w:sz="2" w:space="0" w:color="808080"/>
                    <w:right w:val="double" w:sz="2" w:space="0" w:color="808080"/>
                  </w:tcBorders>
                  <w:vAlign w:val="center"/>
                </w:tcPr>
                <w:p>
                  <w:pPr>
                    <w:pStyle w:val="TableContents"/>
                    <w:bidi w:val="0"/>
                    <w:spacing w:before="0" w:after="0"/>
                    <w:jc w:val="center"/>
                    <w:rPr>
                      <w:rFonts w:ascii="arial;helvetica;sans-serif" w:hAnsi="arial;helvetica;sans-serif"/>
                      <w:b w:val="false"/>
                      <w:sz w:val="24"/>
                    </w:rPr>
                  </w:pPr>
                  <w:r>
                    <w:rPr>
                      <w:rFonts w:ascii="arial;helvetica;sans-serif" w:hAnsi="arial;helvetica;sans-serif"/>
                      <w:b w:val="false"/>
                      <w:sz w:val="24"/>
                    </w:rPr>
                    <w:t>OMB APPROVAL</w:t>
                  </w:r>
                </w:p>
                <w:tbl>
                  <w:tblPr>
                    <w:tblW w:w="5000" w:type="pct"/>
                    <w:jc w:val="left"/>
                    <w:tblInd w:w="0" w:type="dxa"/>
                    <w:tblLayout w:type="fixed"/>
                    <w:tblCellMar>
                      <w:top w:w="28" w:type="dxa"/>
                      <w:left w:w="28" w:type="dxa"/>
                      <w:bottom w:w="28" w:type="dxa"/>
                      <w:right w:w="28" w:type="dxa"/>
                    </w:tblCellMar>
                  </w:tblPr>
                  <w:tblGrid>
                    <w:gridCol w:w="1147"/>
                    <w:gridCol w:w="669"/>
                  </w:tblGrid>
                  <w:tr>
                    <w:trPr/>
                    <w:tc>
                      <w:tcPr>
                        <w:tcW w:w="1147"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OMB Number:</w:t>
                        </w:r>
                      </w:p>
                    </w:tc>
                    <w:tc>
                      <w:tcPr>
                        <w:tcW w:w="669"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3235-0287</w:t>
                        </w:r>
                      </w:p>
                    </w:tc>
                  </w:tr>
                  <w:tr>
                    <w:trPr/>
                    <w:tc>
                      <w:tcPr>
                        <w:tcW w:w="1816" w:type="dxa"/>
                        <w:gridSpan w:val="2"/>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Estimated average burden</w:t>
                        </w:r>
                      </w:p>
                    </w:tc>
                  </w:tr>
                  <w:tr>
                    <w:trPr/>
                    <w:tc>
                      <w:tcPr>
                        <w:tcW w:w="1147"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hours per response:</w:t>
                        </w:r>
                      </w:p>
                    </w:tc>
                    <w:tc>
                      <w:tcPr>
                        <w:tcW w:w="669"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0.5</w:t>
                        </w:r>
                      </w:p>
                    </w:tc>
                  </w:tr>
                </w:tbl>
                <w:p>
                  <w:pPr>
                    <w:pStyle w:val="TableContents"/>
                    <w:bidi w:val="0"/>
                    <w:spacing w:before="0" w:after="283"/>
                    <w:jc w:val="left"/>
                    <w:rPr/>
                  </w:pPr>
                  <w:r>
                    <w:rPr/>
                  </w:r>
                </w:p>
              </w:tc>
            </w:tr>
            <w:tr>
              <w:trPr/>
              <w:tc>
                <w:tcPr>
                  <w:tcW w:w="1872" w:type="dxa"/>
                  <w:tcBorders>
                    <w:left w:val="double" w:sz="2" w:space="0" w:color="808080"/>
                    <w:bottom w:val="double" w:sz="2" w:space="0" w:color="808080"/>
                    <w:right w:val="double" w:sz="2" w:space="0" w:color="808080"/>
                  </w:tcBorders>
                  <w:vAlign w:val="center"/>
                </w:tcPr>
                <w:p>
                  <w:pPr>
                    <w:pStyle w:val="TableContents"/>
                    <w:bidi w:val="0"/>
                    <w:spacing w:before="0" w:after="283"/>
                    <w:jc w:val="left"/>
                    <w:rPr>
                      <w:sz w:val="4"/>
                      <w:szCs w:val="4"/>
                    </w:rPr>
                  </w:pPr>
                  <w:r>
                    <w:rPr>
                      <w:sz w:val="4"/>
                      <w:szCs w:val="4"/>
                    </w:rPr>
                  </w:r>
                </w:p>
              </w:tc>
            </w:tr>
          </w:tbl>
          <w:p>
            <w:pPr>
              <w:pStyle w:val="TableContents"/>
              <w:bidi w:val="0"/>
              <w:spacing w:before="0" w:after="283"/>
              <w:jc w:val="left"/>
              <w:rPr>
                <w:sz w:val="4"/>
                <w:szCs w:val="4"/>
              </w:rPr>
            </w:pPr>
            <w:r>
              <w:rPr>
                <w:sz w:val="4"/>
                <w:szCs w:val="4"/>
              </w:rPr>
            </w:r>
          </w:p>
        </w:tc>
      </w:tr>
      <w:tr>
        <w:trPr/>
        <w:tc>
          <w:tcPr>
            <w:tcW w:w="345" w:type="dxa"/>
            <w:tcBorders/>
            <w:vAlign w:val="center"/>
          </w:tcPr>
          <w:p>
            <w:pPr>
              <w:pStyle w:val="TableContents"/>
              <w:bidi w:val="0"/>
              <w:spacing w:before="0" w:after="283"/>
              <w:jc w:val="left"/>
              <w:rPr/>
            </w:pPr>
            <w:r>
              <w:rPr/>
              <w:drawing>
                <wp:inline distT="0" distB="0" distL="0" distR="0">
                  <wp:extent cx="142875" cy="14287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link="rId2"/>
                          <a:stretch>
                            <a:fillRect/>
                          </a:stretch>
                        </pic:blipFill>
                        <pic:spPr bwMode="auto">
                          <a:xfrm>
                            <a:off x="0" y="0"/>
                            <a:ext cx="142875" cy="142875"/>
                          </a:xfrm>
                          <a:prstGeom prst="rect">
                            <a:avLst/>
                          </a:prstGeom>
                        </pic:spPr>
                      </pic:pic>
                    </a:graphicData>
                  </a:graphic>
                </wp:inline>
              </w:drawing>
            </w:r>
          </w:p>
        </w:tc>
        <w:tc>
          <w:tcPr>
            <w:tcW w:w="1891"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 xml:space="preserve">Check this box if no longer subject to Section 16. Form 4 or Form 5 obligations may continue. </w:t>
            </w:r>
            <w:r>
              <w:rPr>
                <w:rFonts w:ascii="arial;helvetica;sans-serif" w:hAnsi="arial;helvetica;sans-serif"/>
                <w:i/>
                <w:sz w:val="14"/>
              </w:rPr>
              <w:t>See</w:t>
            </w:r>
            <w:r>
              <w:rPr>
                <w:rFonts w:ascii="arial;helvetica;sans-serif" w:hAnsi="arial;helvetica;sans-serif"/>
                <w:sz w:val="14"/>
              </w:rPr>
              <w:t xml:space="preserve"> Instruction 1(b).</w:t>
            </w:r>
          </w:p>
        </w:tc>
        <w:tc>
          <w:tcPr>
            <w:tcW w:w="5977" w:type="dxa"/>
            <w:vMerge w:val="continue"/>
            <w:tcBorders/>
            <w:vAlign w:val="center"/>
          </w:tcPr>
          <w:p>
            <w:pPr>
              <w:pStyle w:val="Normal"/>
              <w:bidi w:val="0"/>
              <w:jc w:val="left"/>
              <w:rPr/>
            </w:pPr>
            <w:r>
              <w:rPr/>
            </w:r>
          </w:p>
        </w:tc>
        <w:tc>
          <w:tcPr>
            <w:tcW w:w="1992" w:type="dxa"/>
            <w:vMerge w:val="continue"/>
            <w:tcBorders/>
          </w:tcPr>
          <w:p>
            <w:pPr>
              <w:pStyle w:val="Normal"/>
              <w:bidi w:val="0"/>
              <w:jc w:val="left"/>
              <w:rPr/>
            </w:pPr>
            <w:r>
              <w:rPr/>
            </w:r>
          </w:p>
        </w:tc>
      </w:tr>
      <w:tr>
        <w:trPr>
          <w:trHeight w:val="570" w:hRule="atLeast"/>
        </w:trPr>
        <w:tc>
          <w:tcPr>
            <w:tcW w:w="345" w:type="dxa"/>
            <w:tcBorders/>
          </w:tcPr>
          <w:p>
            <w:pPr>
              <w:pStyle w:val="TableContents"/>
              <w:bidi w:val="0"/>
              <w:spacing w:before="0" w:after="283"/>
              <w:jc w:val="left"/>
              <w:rPr/>
            </w:pPr>
            <w:r>
              <w:rPr/>
              <w:drawing>
                <wp:inline distT="0" distB="0" distL="0" distR="0">
                  <wp:extent cx="142875" cy="142875"/>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link="rId3"/>
                          <a:stretch>
                            <a:fillRect/>
                          </a:stretch>
                        </pic:blipFill>
                        <pic:spPr bwMode="auto">
                          <a:xfrm>
                            <a:off x="0" y="0"/>
                            <a:ext cx="142875" cy="142875"/>
                          </a:xfrm>
                          <a:prstGeom prst="rect">
                            <a:avLst/>
                          </a:prstGeom>
                        </pic:spPr>
                      </pic:pic>
                    </a:graphicData>
                  </a:graphic>
                </wp:inline>
              </w:drawing>
            </w:r>
          </w:p>
        </w:tc>
        <w:tc>
          <w:tcPr>
            <w:tcW w:w="1891"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Check this box to indicate that a transaction was made pursuant to a contract, instruction or written plan for the purchase or sale of equity securities of the issuer that is intended to satisfy the affirmative defense conditions of Rule 10b5-1(c). See Instruction 10.</w:t>
            </w:r>
          </w:p>
        </w:tc>
        <w:tc>
          <w:tcPr>
            <w:tcW w:w="7969" w:type="dxa"/>
            <w:gridSpan w:val="2"/>
            <w:tcBorders/>
          </w:tcPr>
          <w:p>
            <w:pPr>
              <w:pStyle w:val="TableContents"/>
              <w:bidi w:val="0"/>
              <w:spacing w:before="0" w:after="283"/>
              <w:jc w:val="left"/>
              <w:rPr>
                <w:sz w:val="4"/>
                <w:szCs w:val="4"/>
              </w:rPr>
            </w:pPr>
            <w:r>
              <w:rPr>
                <w:sz w:val="4"/>
                <w:szCs w:val="4"/>
              </w:rPr>
            </w:r>
          </w:p>
        </w:tc>
      </w:tr>
    </w:tbl>
    <w:tbl>
      <w:tblPr>
        <w:tblW w:w="5000" w:type="pct"/>
        <w:jc w:val="left"/>
        <w:tblInd w:w="-7" w:type="dxa"/>
        <w:tblLayout w:type="fixed"/>
        <w:tblCellMar>
          <w:top w:w="60" w:type="dxa"/>
          <w:left w:w="60" w:type="dxa"/>
          <w:bottom w:w="60" w:type="dxa"/>
          <w:right w:w="60" w:type="dxa"/>
        </w:tblCellMar>
      </w:tblPr>
      <w:tblGrid>
        <w:gridCol w:w="3571"/>
        <w:gridCol w:w="3571"/>
        <w:gridCol w:w="3063"/>
      </w:tblGrid>
      <w:tr>
        <w:trPr/>
        <w:tc>
          <w:tcPr>
            <w:tcW w:w="3571" w:type="dxa"/>
            <w:vMerge w:val="restart"/>
            <w:tcBorders>
              <w:top w:val="single" w:sz="6" w:space="0" w:color="808080"/>
              <w:left w:val="single" w:sz="6" w:space="0" w:color="808080"/>
              <w:bottom w:val="single" w:sz="2"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1. Name and Address of Reporting Person</w:t>
            </w:r>
            <w:r>
              <w:rPr>
                <w:rFonts w:ascii="arial;helvetica;sans-serif" w:hAnsi="arial;helvetica;sans-serif"/>
                <w:position w:val="7"/>
                <w:sz w:val="16"/>
                <w:sz w:val="20"/>
              </w:rPr>
              <w:t>*</w:t>
            </w:r>
          </w:p>
          <w:tbl>
            <w:tblPr>
              <w:tblW w:w="5000" w:type="pct"/>
              <w:jc w:val="left"/>
              <w:tblInd w:w="0" w:type="dxa"/>
              <w:tblLayout w:type="fixed"/>
              <w:tblCellMar>
                <w:top w:w="28" w:type="dxa"/>
                <w:left w:w="28" w:type="dxa"/>
                <w:bottom w:w="28" w:type="dxa"/>
                <w:right w:w="28" w:type="dxa"/>
              </w:tblCellMar>
            </w:tblPr>
            <w:tblGrid>
              <w:gridCol w:w="3451"/>
            </w:tblGrid>
            <w:tr>
              <w:trPr/>
              <w:tc>
                <w:tcPr>
                  <w:tcW w:w="3451" w:type="dxa"/>
                  <w:tcBorders/>
                  <w:vAlign w:val="center"/>
                </w:tcPr>
                <w:p>
                  <w:pPr>
                    <w:pStyle w:val="TableContents"/>
                    <w:bidi w:val="0"/>
                    <w:spacing w:before="0" w:after="283"/>
                    <w:jc w:val="left"/>
                    <w:rPr/>
                  </w:pPr>
                  <w:hyperlink r:id="rId4">
                    <w:r>
                      <w:rPr>
                        <w:rStyle w:val="InternetLink"/>
                      </w:rPr>
                      <w:t>Shao Wei-Ming</w:t>
                    </w:r>
                  </w:hyperlink>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50"/>
              <w:gridCol w:w="1150"/>
              <w:gridCol w:w="1151"/>
            </w:tblGrid>
            <w:tr>
              <w:trPr/>
              <w:tc>
                <w:tcPr>
                  <w:tcW w:w="115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(Last)</w:t>
                  </w:r>
                </w:p>
              </w:tc>
              <w:tc>
                <w:tcPr>
                  <w:tcW w:w="115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(First)</w:t>
                  </w:r>
                </w:p>
              </w:tc>
              <w:tc>
                <w:tcPr>
                  <w:tcW w:w="115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(Middle)</w:t>
                  </w:r>
                </w:p>
              </w:tc>
            </w:tr>
          </w:tbl>
          <w:tbl>
            <w:tblPr>
              <w:tblW w:w="5000" w:type="pct"/>
              <w:jc w:val="left"/>
              <w:tblInd w:w="0" w:type="dxa"/>
              <w:tblLayout w:type="fixed"/>
              <w:tblCellMar>
                <w:top w:w="28" w:type="dxa"/>
                <w:left w:w="28" w:type="dxa"/>
                <w:bottom w:w="28" w:type="dxa"/>
                <w:right w:w="28" w:type="dxa"/>
              </w:tblCellMar>
            </w:tblPr>
            <w:tblGrid>
              <w:gridCol w:w="3451"/>
            </w:tblGrid>
            <w:tr>
              <w:trPr/>
              <w:tc>
                <w:tcPr>
                  <w:tcW w:w="345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C/O MICROSTRATEGY INCORPORATED</w:t>
                  </w:r>
                </w:p>
              </w:tc>
            </w:tr>
            <w:tr>
              <w:trPr/>
              <w:tc>
                <w:tcPr>
                  <w:tcW w:w="345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1850 TOWERS CRESCENT PLAZA</w:t>
                  </w:r>
                </w:p>
              </w:tc>
            </w:tr>
          </w:tbl>
          <w:p>
            <w:pPr>
              <w:pStyle w:val="HorizontalLine"/>
              <w:pBdr>
                <w:bottom w:val="double" w:sz="2" w:space="0" w:color="808080"/>
              </w:pBdr>
              <w:bidi w:val="0"/>
              <w:spacing w:before="0" w:after="283"/>
              <w:jc w:val="left"/>
              <w:rPr/>
            </w:pPr>
            <w:r>
              <w:rPr/>
            </w:r>
          </w:p>
          <w:p>
            <w:pPr>
              <w:pStyle w:val="TableContents"/>
              <w:bidi w:val="0"/>
              <w:spacing w:before="0" w:after="0"/>
              <w:jc w:val="left"/>
              <w:rPr/>
            </w:pPr>
            <w:r>
              <w:rPr>
                <w:rFonts w:ascii="arial;helvetica;sans-serif" w:hAnsi="arial;helvetica;sans-serif"/>
                <w:sz w:val="20"/>
              </w:rPr>
              <w:t>(Street)</w:t>
            </w:r>
            <w:r>
              <w:rPr/>
              <w:t xml:space="preserve"> </w:t>
            </w:r>
          </w:p>
          <w:tbl>
            <w:tblPr>
              <w:tblW w:w="5000" w:type="pct"/>
              <w:jc w:val="left"/>
              <w:tblInd w:w="0" w:type="dxa"/>
              <w:tblLayout w:type="fixed"/>
              <w:tblCellMar>
                <w:top w:w="28" w:type="dxa"/>
                <w:left w:w="28" w:type="dxa"/>
                <w:bottom w:w="28" w:type="dxa"/>
                <w:right w:w="28" w:type="dxa"/>
              </w:tblCellMar>
            </w:tblPr>
            <w:tblGrid>
              <w:gridCol w:w="1150"/>
              <w:gridCol w:w="1150"/>
              <w:gridCol w:w="1151"/>
            </w:tblGrid>
            <w:tr>
              <w:trPr/>
              <w:tc>
                <w:tcPr>
                  <w:tcW w:w="1150"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TYSONS CORNER</w:t>
                  </w:r>
                </w:p>
              </w:tc>
              <w:tc>
                <w:tcPr>
                  <w:tcW w:w="1150"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VA</w:t>
                  </w:r>
                </w:p>
              </w:tc>
              <w:tc>
                <w:tcPr>
                  <w:tcW w:w="115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22182</w:t>
                  </w:r>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50"/>
              <w:gridCol w:w="1150"/>
              <w:gridCol w:w="1151"/>
            </w:tblGrid>
            <w:tr>
              <w:trPr/>
              <w:tc>
                <w:tcPr>
                  <w:tcW w:w="115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(City)</w:t>
                  </w:r>
                </w:p>
              </w:tc>
              <w:tc>
                <w:tcPr>
                  <w:tcW w:w="115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(State)</w:t>
                  </w:r>
                </w:p>
              </w:tc>
              <w:tc>
                <w:tcPr>
                  <w:tcW w:w="115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(Zip)</w:t>
                  </w:r>
                </w:p>
              </w:tc>
            </w:tr>
          </w:tbl>
          <w:p>
            <w:pPr>
              <w:pStyle w:val="TableContents"/>
              <w:bidi w:val="0"/>
              <w:spacing w:before="0" w:after="283"/>
              <w:jc w:val="left"/>
              <w:rPr>
                <w:sz w:val="4"/>
                <w:szCs w:val="4"/>
              </w:rPr>
            </w:pPr>
            <w:r>
              <w:rPr>
                <w:sz w:val="4"/>
                <w:szCs w:val="4"/>
              </w:rPr>
            </w:r>
          </w:p>
        </w:tc>
        <w:tc>
          <w:tcPr>
            <w:tcW w:w="3571" w:type="dxa"/>
            <w:tcBorders>
              <w:top w:val="single" w:sz="6" w:space="0" w:color="808080"/>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 xml:space="preserve">2. Issuer Name </w:t>
            </w:r>
            <w:r>
              <w:rPr>
                <w:rFonts w:ascii="arial;helvetica;sans-serif" w:hAnsi="arial;helvetica;sans-serif"/>
                <w:b/>
                <w:sz w:val="20"/>
              </w:rPr>
              <w:t>and</w:t>
            </w:r>
            <w:r>
              <w:rPr>
                <w:rFonts w:ascii="arial;helvetica;sans-serif" w:hAnsi="arial;helvetica;sans-serif"/>
                <w:sz w:val="20"/>
              </w:rPr>
              <w:t xml:space="preserve"> Ticker or Trading Symbol </w:t>
            </w:r>
            <w:r>
              <w:rPr/>
              <w:br/>
            </w:r>
            <w:hyperlink r:id="rId5">
              <w:r>
                <w:rPr>
                  <w:rStyle w:val="InternetLink"/>
                </w:rPr>
                <w:t>MICROSTRATEGY Inc</w:t>
              </w:r>
            </w:hyperlink>
            <w:r>
              <w:rPr/>
              <w:t xml:space="preserve"> [ </w:t>
            </w:r>
            <w:r>
              <w:rPr>
                <w:rFonts w:ascii="Times;serif" w:hAnsi="Times;serif"/>
                <w:color w:val="0000FF"/>
                <w:sz w:val="24"/>
                <w:shd w:fill="FFFFFF" w:val="clear"/>
              </w:rPr>
              <w:t>MSTR</w:t>
            </w:r>
            <w:r>
              <w:rPr/>
              <w:t xml:space="preserve"> ] </w:t>
            </w:r>
          </w:p>
        </w:tc>
        <w:tc>
          <w:tcPr>
            <w:tcW w:w="3063" w:type="dxa"/>
            <w:vMerge w:val="restart"/>
            <w:tcBorders>
              <w:top w:val="single" w:sz="6" w:space="0" w:color="808080"/>
              <w:left w:val="single" w:sz="2" w:space="0" w:color="808080"/>
              <w:bottom w:val="single" w:sz="2" w:space="0" w:color="808080"/>
              <w:right w:val="single" w:sz="6" w:space="0" w:color="808080"/>
            </w:tcBorders>
          </w:tcPr>
          <w:p>
            <w:pPr>
              <w:pStyle w:val="TableContents"/>
              <w:bidi w:val="0"/>
              <w:spacing w:before="0" w:after="0"/>
              <w:jc w:val="left"/>
              <w:rPr/>
            </w:pPr>
            <w:r>
              <w:rPr>
                <w:rFonts w:ascii="arial;helvetica;sans-serif" w:hAnsi="arial;helvetica;sans-serif"/>
                <w:sz w:val="20"/>
              </w:rPr>
              <w:t xml:space="preserve">5. Relationship of Reporting Person(s) to Issuer </w:t>
            </w:r>
            <w:r>
              <w:rPr/>
              <w:br/>
            </w:r>
            <w:r>
              <w:rPr>
                <w:rFonts w:ascii="arial;helvetica;sans-serif" w:hAnsi="arial;helvetica;sans-serif"/>
                <w:sz w:val="20"/>
              </w:rPr>
              <w:t>(Check all applicable)</w:t>
            </w:r>
            <w:r>
              <w:rPr/>
              <w:t xml:space="preserve"> </w:t>
            </w:r>
          </w:p>
          <w:tbl>
            <w:tblPr>
              <w:tblW w:w="5000" w:type="pct"/>
              <w:jc w:val="left"/>
              <w:tblInd w:w="0" w:type="dxa"/>
              <w:tblLayout w:type="fixed"/>
              <w:tblCellMar>
                <w:top w:w="28" w:type="dxa"/>
                <w:left w:w="28" w:type="dxa"/>
                <w:bottom w:w="28" w:type="dxa"/>
                <w:right w:w="28" w:type="dxa"/>
              </w:tblCellMar>
            </w:tblPr>
            <w:tblGrid>
              <w:gridCol w:w="441"/>
              <w:gridCol w:w="1030"/>
              <w:gridCol w:w="441"/>
              <w:gridCol w:w="1031"/>
            </w:tblGrid>
            <w:tr>
              <w:trPr/>
              <w:tc>
                <w:tcPr>
                  <w:tcW w:w="441" w:type="dxa"/>
                  <w:tcBorders/>
                  <w:vAlign w:val="center"/>
                </w:tcPr>
                <w:p>
                  <w:pPr>
                    <w:pStyle w:val="TableContents"/>
                    <w:bidi w:val="0"/>
                    <w:spacing w:before="0" w:after="283"/>
                    <w:jc w:val="left"/>
                    <w:rPr>
                      <w:sz w:val="4"/>
                      <w:szCs w:val="4"/>
                    </w:rPr>
                  </w:pPr>
                  <w:r>
                    <w:rPr>
                      <w:sz w:val="4"/>
                      <w:szCs w:val="4"/>
                    </w:rPr>
                  </w:r>
                </w:p>
              </w:tc>
              <w:tc>
                <w:tcPr>
                  <w:tcW w:w="103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Director</w:t>
                  </w:r>
                </w:p>
              </w:tc>
              <w:tc>
                <w:tcPr>
                  <w:tcW w:w="441" w:type="dxa"/>
                  <w:tcBorders/>
                  <w:vAlign w:val="center"/>
                </w:tcPr>
                <w:p>
                  <w:pPr>
                    <w:pStyle w:val="TableContents"/>
                    <w:bidi w:val="0"/>
                    <w:spacing w:before="0" w:after="283"/>
                    <w:jc w:val="left"/>
                    <w:rPr>
                      <w:sz w:val="4"/>
                      <w:szCs w:val="4"/>
                    </w:rPr>
                  </w:pPr>
                  <w:r>
                    <w:rPr>
                      <w:sz w:val="4"/>
                      <w:szCs w:val="4"/>
                    </w:rPr>
                  </w:r>
                </w:p>
              </w:tc>
              <w:tc>
                <w:tcPr>
                  <w:tcW w:w="103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10% Owner</w:t>
                  </w:r>
                </w:p>
              </w:tc>
            </w:tr>
            <w:tr>
              <w:trPr/>
              <w:tc>
                <w:tcPr>
                  <w:tcW w:w="441" w:type="dxa"/>
                  <w:tcBorders/>
                  <w:vAlign w:val="center"/>
                </w:tcPr>
                <w:p>
                  <w:pPr>
                    <w:pStyle w:val="TableContents"/>
                    <w:bidi w:val="0"/>
                    <w:spacing w:before="0" w:after="283"/>
                    <w:jc w:val="center"/>
                    <w:rPr>
                      <w:color w:val="0000FF"/>
                      <w:shd w:fill="FFFFFF" w:val="clear"/>
                    </w:rPr>
                  </w:pPr>
                  <w:r>
                    <w:rPr>
                      <w:color w:val="0000FF"/>
                      <w:shd w:fill="FFFFFF" w:val="clear"/>
                    </w:rPr>
                    <w:drawing>
                      <wp:inline distT="0" distB="0" distL="0" distR="0">
                        <wp:extent cx="142875" cy="142875"/>
                        <wp:effectExtent l="0" t="0" r="0" b="0"/>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link="rId6"/>
                                <a:stretch>
                                  <a:fillRect/>
                                </a:stretch>
                              </pic:blipFill>
                              <pic:spPr bwMode="auto">
                                <a:xfrm>
                                  <a:off x="0" y="0"/>
                                  <a:ext cx="142875" cy="142875"/>
                                </a:xfrm>
                                <a:prstGeom prst="rect">
                                  <a:avLst/>
                                </a:prstGeom>
                              </pic:spPr>
                            </pic:pic>
                          </a:graphicData>
                        </a:graphic>
                      </wp:inline>
                    </w:drawing>
                  </w:r>
                </w:p>
              </w:tc>
              <w:tc>
                <w:tcPr>
                  <w:tcW w:w="103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Officer (give title below)</w:t>
                  </w:r>
                </w:p>
              </w:tc>
              <w:tc>
                <w:tcPr>
                  <w:tcW w:w="441" w:type="dxa"/>
                  <w:tcBorders/>
                  <w:vAlign w:val="center"/>
                </w:tcPr>
                <w:p>
                  <w:pPr>
                    <w:pStyle w:val="TableContents"/>
                    <w:bidi w:val="0"/>
                    <w:spacing w:before="0" w:after="283"/>
                    <w:jc w:val="left"/>
                    <w:rPr>
                      <w:sz w:val="4"/>
                      <w:szCs w:val="4"/>
                    </w:rPr>
                  </w:pPr>
                  <w:r>
                    <w:rPr>
                      <w:sz w:val="4"/>
                      <w:szCs w:val="4"/>
                    </w:rPr>
                  </w:r>
                </w:p>
              </w:tc>
              <w:tc>
                <w:tcPr>
                  <w:tcW w:w="103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Other (specify below)</w:t>
                  </w:r>
                </w:p>
              </w:tc>
            </w:tr>
            <w:tr>
              <w:trPr/>
              <w:tc>
                <w:tcPr>
                  <w:tcW w:w="2943" w:type="dxa"/>
                  <w:gridSpan w:val="4"/>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SEVP &amp; General Counsel</w:t>
                  </w:r>
                </w:p>
              </w:tc>
            </w:tr>
          </w:tbl>
          <w:p>
            <w:pPr>
              <w:pStyle w:val="TableContents"/>
              <w:bidi w:val="0"/>
              <w:spacing w:before="0" w:after="283"/>
              <w:jc w:val="left"/>
              <w:rPr>
                <w:sz w:val="4"/>
                <w:szCs w:val="4"/>
              </w:rPr>
            </w:pPr>
            <w:r>
              <w:rPr>
                <w:sz w:val="4"/>
                <w:szCs w:val="4"/>
              </w:rPr>
            </w:r>
          </w:p>
        </w:tc>
      </w:tr>
      <w:tr>
        <w:trPr/>
        <w:tc>
          <w:tcPr>
            <w:tcW w:w="357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3571" w:type="dxa"/>
            <w:tcBorders>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3. Date of Earliest Transaction (Month/Day/Year)</w:t>
            </w:r>
            <w:r>
              <w:rPr/>
              <w:br/>
            </w:r>
            <w:r>
              <w:rPr>
                <w:rFonts w:ascii="Times;serif" w:hAnsi="Times;serif"/>
                <w:color w:val="0000FF"/>
                <w:sz w:val="24"/>
                <w:shd w:fill="FFFFFF" w:val="clear"/>
              </w:rPr>
              <w:t>11/07/2024</w:t>
            </w:r>
            <w:r>
              <w:rPr/>
              <w:t xml:space="preserve"> </w:t>
            </w:r>
          </w:p>
        </w:tc>
        <w:tc>
          <w:tcPr>
            <w:tcW w:w="3063" w:type="dxa"/>
            <w:vMerge w:val="continue"/>
            <w:tcBorders>
              <w:left w:val="single" w:sz="2" w:space="0" w:color="808080"/>
              <w:bottom w:val="single" w:sz="2" w:space="0" w:color="808080"/>
              <w:right w:val="single" w:sz="6" w:space="0" w:color="808080"/>
            </w:tcBorders>
          </w:tcPr>
          <w:p>
            <w:pPr>
              <w:pStyle w:val="Normal"/>
              <w:bidi w:val="0"/>
              <w:jc w:val="left"/>
              <w:rPr/>
            </w:pPr>
            <w:r>
              <w:rPr/>
            </w:r>
          </w:p>
        </w:tc>
      </w:tr>
      <w:tr>
        <w:trPr/>
        <w:tc>
          <w:tcPr>
            <w:tcW w:w="3571" w:type="dxa"/>
            <w:vMerge w:val="continue"/>
            <w:tcBorders>
              <w:left w:val="single" w:sz="6" w:space="0" w:color="808080"/>
              <w:bottom w:val="single" w:sz="6" w:space="0" w:color="808080"/>
              <w:right w:val="single" w:sz="6" w:space="0" w:color="808080"/>
            </w:tcBorders>
          </w:tcPr>
          <w:p>
            <w:pPr>
              <w:pStyle w:val="Normal"/>
              <w:bidi w:val="0"/>
              <w:jc w:val="left"/>
              <w:rPr/>
            </w:pPr>
            <w:r>
              <w:rPr/>
            </w:r>
          </w:p>
        </w:tc>
        <w:tc>
          <w:tcPr>
            <w:tcW w:w="3571" w:type="dxa"/>
            <w:tcBorders>
              <w:left w:val="single" w:sz="2" w:space="0" w:color="808080"/>
              <w:bottom w:val="single" w:sz="6" w:space="0" w:color="808080"/>
              <w:right w:val="single" w:sz="6" w:space="0" w:color="808080"/>
            </w:tcBorders>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4. If Amendment, Date of Original Filed (Month/Day/Year)</w:t>
            </w:r>
          </w:p>
        </w:tc>
        <w:tc>
          <w:tcPr>
            <w:tcW w:w="3063" w:type="dxa"/>
            <w:tcBorders>
              <w:left w:val="single" w:sz="2" w:space="0" w:color="808080"/>
              <w:bottom w:val="single" w:sz="6"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 xml:space="preserve">6. Individual or Joint/Group Filing (Check Applicable Line) </w:t>
            </w:r>
          </w:p>
          <w:tbl>
            <w:tblPr>
              <w:tblW w:w="5000" w:type="pct"/>
              <w:jc w:val="left"/>
              <w:tblInd w:w="0" w:type="dxa"/>
              <w:tblLayout w:type="fixed"/>
              <w:tblCellMar>
                <w:top w:w="28" w:type="dxa"/>
                <w:left w:w="28" w:type="dxa"/>
                <w:bottom w:w="28" w:type="dxa"/>
                <w:right w:w="28" w:type="dxa"/>
              </w:tblCellMar>
            </w:tblPr>
            <w:tblGrid>
              <w:gridCol w:w="440"/>
              <w:gridCol w:w="2503"/>
            </w:tblGrid>
            <w:tr>
              <w:trPr/>
              <w:tc>
                <w:tcPr>
                  <w:tcW w:w="440" w:type="dxa"/>
                  <w:tcBorders/>
                  <w:vAlign w:val="center"/>
                </w:tcPr>
                <w:p>
                  <w:pPr>
                    <w:pStyle w:val="TableContents"/>
                    <w:bidi w:val="0"/>
                    <w:spacing w:before="0" w:after="283"/>
                    <w:jc w:val="center"/>
                    <w:rPr>
                      <w:color w:val="0000FF"/>
                      <w:shd w:fill="FFFFFF" w:val="clear"/>
                    </w:rPr>
                  </w:pPr>
                  <w:r>
                    <w:rPr>
                      <w:color w:val="0000FF"/>
                      <w:shd w:fill="FFFFFF" w:val="clear"/>
                    </w:rPr>
                    <w:drawing>
                      <wp:inline distT="0" distB="0" distL="0" distR="0">
                        <wp:extent cx="142875" cy="142875"/>
                        <wp:effectExtent l="0" t="0" r="0" b="0"/>
                        <wp:docPr id="4"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
                                <pic:cNvPicPr>
                                  <a:picLocks noChangeAspect="1" noChangeArrowheads="1"/>
                                </pic:cNvPicPr>
                              </pic:nvPicPr>
                              <pic:blipFill>
                                <a:blip r:link="rId7"/>
                                <a:stretch>
                                  <a:fillRect/>
                                </a:stretch>
                              </pic:blipFill>
                              <pic:spPr bwMode="auto">
                                <a:xfrm>
                                  <a:off x="0" y="0"/>
                                  <a:ext cx="142875" cy="142875"/>
                                </a:xfrm>
                                <a:prstGeom prst="rect">
                                  <a:avLst/>
                                </a:prstGeom>
                              </pic:spPr>
                            </pic:pic>
                          </a:graphicData>
                        </a:graphic>
                      </wp:inline>
                    </w:drawing>
                  </w:r>
                </w:p>
              </w:tc>
              <w:tc>
                <w:tcPr>
                  <w:tcW w:w="250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One Reporting Person</w:t>
                  </w:r>
                </w:p>
              </w:tc>
            </w:tr>
            <w:tr>
              <w:trPr/>
              <w:tc>
                <w:tcPr>
                  <w:tcW w:w="440" w:type="dxa"/>
                  <w:tcBorders/>
                  <w:vAlign w:val="center"/>
                </w:tcPr>
                <w:p>
                  <w:pPr>
                    <w:pStyle w:val="TableContents"/>
                    <w:bidi w:val="0"/>
                    <w:spacing w:before="0" w:after="283"/>
                    <w:jc w:val="left"/>
                    <w:rPr>
                      <w:sz w:val="4"/>
                      <w:szCs w:val="4"/>
                    </w:rPr>
                  </w:pPr>
                  <w:r>
                    <w:rPr>
                      <w:sz w:val="4"/>
                      <w:szCs w:val="4"/>
                    </w:rPr>
                  </w:r>
                </w:p>
              </w:tc>
              <w:tc>
                <w:tcPr>
                  <w:tcW w:w="250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More than One Reporting Person</w:t>
                  </w:r>
                </w:p>
              </w:tc>
            </w:tr>
          </w:tbl>
          <w:p>
            <w:pPr>
              <w:pStyle w:val="TableContents"/>
              <w:bidi w:val="0"/>
              <w:spacing w:before="0" w:after="283"/>
              <w:jc w:val="left"/>
              <w:rPr>
                <w:sz w:val="4"/>
                <w:szCs w:val="4"/>
              </w:rPr>
            </w:pPr>
            <w:r>
              <w:rPr>
                <w:sz w:val="4"/>
                <w:szCs w:val="4"/>
              </w:rPr>
            </w:r>
          </w:p>
        </w:tc>
      </w:tr>
    </w:tbl>
    <w:tbl>
      <w:tblPr>
        <w:tblW w:w="5000" w:type="pct"/>
        <w:jc w:val="left"/>
        <w:tblInd w:w="-7" w:type="dxa"/>
        <w:tblLayout w:type="fixed"/>
        <w:tblCellMar>
          <w:top w:w="60" w:type="dxa"/>
          <w:left w:w="60" w:type="dxa"/>
          <w:bottom w:w="60" w:type="dxa"/>
          <w:right w:w="60" w:type="dxa"/>
        </w:tblCellMar>
      </w:tblPr>
      <w:tblGrid>
        <w:gridCol w:w="2295"/>
        <w:gridCol w:w="900"/>
        <w:gridCol w:w="771"/>
        <w:gridCol w:w="598"/>
        <w:gridCol w:w="345"/>
        <w:gridCol w:w="921"/>
        <w:gridCol w:w="446"/>
        <w:gridCol w:w="879"/>
        <w:gridCol w:w="1147"/>
        <w:gridCol w:w="986"/>
        <w:gridCol w:w="917"/>
      </w:tblGrid>
      <w:tr>
        <w:trPr>
          <w:tblHeader w:val="true"/>
        </w:trPr>
        <w:tc>
          <w:tcPr>
            <w:tcW w:w="10205" w:type="dxa"/>
            <w:gridSpan w:val="11"/>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sz w:val="24"/>
              </w:rPr>
            </w:pPr>
            <w:r>
              <w:rPr>
                <w:rFonts w:ascii="arial;helvetica;sans-serif" w:hAnsi="arial;helvetica;sans-serif"/>
                <w:b/>
                <w:sz w:val="24"/>
              </w:rPr>
              <w:t>Table I - Non-Derivative Securities Acquired, Disposed of, or Beneficially Owned</w:t>
            </w:r>
          </w:p>
        </w:tc>
      </w:tr>
      <w:tr>
        <w:trPr>
          <w:tblHeader w:val="true"/>
        </w:trPr>
        <w:tc>
          <w:tcPr>
            <w:tcW w:w="2295"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20"/>
              </w:rPr>
            </w:pPr>
            <w:r>
              <w:rPr>
                <w:rFonts w:ascii="arial;helvetica;sans-serif" w:hAnsi="arial;helvetica;sans-serif"/>
                <w:sz w:val="20"/>
              </w:rPr>
              <w:t xml:space="preserve">1. Title of Security (Instr. 3) </w:t>
            </w:r>
          </w:p>
        </w:tc>
        <w:tc>
          <w:tcPr>
            <w:tcW w:w="900"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 Transaction Date (Month/Day/Year)</w:t>
            </w:r>
          </w:p>
        </w:tc>
        <w:tc>
          <w:tcPr>
            <w:tcW w:w="77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2A. Deemed Execution Date, if any (Month/Day/Year)</w:t>
            </w:r>
          </w:p>
        </w:tc>
        <w:tc>
          <w:tcPr>
            <w:tcW w:w="943"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3. Transaction Code (Instr. 8) </w:t>
            </w:r>
          </w:p>
        </w:tc>
        <w:tc>
          <w:tcPr>
            <w:tcW w:w="2246" w:type="dxa"/>
            <w:gridSpan w:val="3"/>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Securities Acquired (A) or Disposed Of (D) (Instr. 3, 4 and 5) </w:t>
            </w:r>
          </w:p>
        </w:tc>
        <w:tc>
          <w:tcPr>
            <w:tcW w:w="1147"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Amount of Securities Beneficially Owned Following Reported Transaction(s) (Instr. 3 and 4) </w:t>
            </w:r>
          </w:p>
        </w:tc>
        <w:tc>
          <w:tcPr>
            <w:tcW w:w="98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6. Ownership Form: Direct (D) or Indirect (I) (Instr. 4) </w:t>
            </w:r>
          </w:p>
        </w:tc>
        <w:tc>
          <w:tcPr>
            <w:tcW w:w="917"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Nature of Indirect Beneficial Ownership (Instr. 4) </w:t>
            </w:r>
          </w:p>
        </w:tc>
      </w:tr>
      <w:tr>
        <w:trPr>
          <w:tblHeader w:val="true"/>
        </w:trPr>
        <w:tc>
          <w:tcPr>
            <w:tcW w:w="2295"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900"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77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598"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45"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921"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w:t>
            </w:r>
          </w:p>
        </w:tc>
        <w:tc>
          <w:tcPr>
            <w:tcW w:w="446"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 or (D)</w:t>
            </w:r>
          </w:p>
        </w:tc>
        <w:tc>
          <w:tcPr>
            <w:tcW w:w="879"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Price</w:t>
            </w:r>
          </w:p>
        </w:tc>
        <w:tc>
          <w:tcPr>
            <w:tcW w:w="1147"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86"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17" w:type="dxa"/>
            <w:vMerge w:val="continue"/>
            <w:tcBorders>
              <w:left w:val="single" w:sz="2" w:space="0" w:color="808080"/>
              <w:bottom w:val="single" w:sz="2" w:space="0" w:color="808080"/>
              <w:right w:val="single" w:sz="6" w:space="0" w:color="808080"/>
            </w:tcBorders>
          </w:tcPr>
          <w:p>
            <w:pPr>
              <w:pStyle w:val="Normal"/>
              <w:bidi w:val="0"/>
              <w:jc w:val="left"/>
              <w:rPr/>
            </w:pPr>
            <w:r>
              <w:rPr/>
            </w:r>
          </w:p>
        </w:tc>
      </w:tr>
      <w:tr>
        <w:trPr/>
        <w:tc>
          <w:tcPr>
            <w:tcW w:w="2295"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0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11/07/2024</w:t>
            </w:r>
          </w:p>
        </w:tc>
        <w:tc>
          <w:tcPr>
            <w:tcW w:w="77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59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M</w:t>
            </w:r>
          </w:p>
        </w:tc>
        <w:tc>
          <w:tcPr>
            <w:tcW w:w="34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92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20,000</w:t>
            </w:r>
          </w:p>
        </w:tc>
        <w:tc>
          <w:tcPr>
            <w:tcW w:w="44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A</w:t>
            </w:r>
          </w:p>
        </w:tc>
        <w:tc>
          <w:tcPr>
            <w:tcW w:w="879"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17.5</w:t>
            </w:r>
            <w:r>
              <w:rPr/>
              <w:t xml:space="preserve"> </w:t>
            </w:r>
          </w:p>
        </w:tc>
        <w:tc>
          <w:tcPr>
            <w:tcW w:w="114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26,460</w:t>
            </w:r>
          </w:p>
        </w:tc>
        <w:tc>
          <w:tcPr>
            <w:tcW w:w="98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1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295"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00"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11/07/2024</w:t>
            </w:r>
          </w:p>
        </w:tc>
        <w:tc>
          <w:tcPr>
            <w:tcW w:w="77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598"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S</w:t>
            </w:r>
          </w:p>
        </w:tc>
        <w:tc>
          <w:tcPr>
            <w:tcW w:w="345"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92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20,000</w:t>
            </w:r>
          </w:p>
        </w:tc>
        <w:tc>
          <w:tcPr>
            <w:tcW w:w="446"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879"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271.98</w:t>
            </w:r>
            <w:r>
              <w:rPr>
                <w:rFonts w:ascii="Times;serif" w:hAnsi="Times;serif"/>
                <w:color w:val="008000"/>
                <w:position w:val="7"/>
                <w:sz w:val="16"/>
                <w:sz w:val="20"/>
                <w:shd w:fill="FFFFFF" w:val="clear"/>
              </w:rPr>
              <w:t>(1)</w:t>
            </w:r>
            <w:r>
              <w:rPr/>
              <w:t xml:space="preserve"> </w:t>
            </w:r>
          </w:p>
        </w:tc>
        <w:tc>
          <w:tcPr>
            <w:tcW w:w="1147"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6,460</w:t>
            </w:r>
          </w:p>
        </w:tc>
        <w:tc>
          <w:tcPr>
            <w:tcW w:w="986"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17"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r>
    </w:tbl>
    <w:tbl>
      <w:tblPr>
        <w:tblW w:w="12194" w:type="dxa"/>
        <w:jc w:val="left"/>
        <w:tblInd w:w="-7" w:type="dxa"/>
        <w:tblLayout w:type="fixed"/>
        <w:tblCellMar>
          <w:top w:w="60" w:type="dxa"/>
          <w:left w:w="60" w:type="dxa"/>
          <w:bottom w:w="60" w:type="dxa"/>
          <w:right w:w="60" w:type="dxa"/>
        </w:tblCellMar>
      </w:tblPr>
      <w:tblGrid>
        <w:gridCol w:w="980"/>
        <w:gridCol w:w="861"/>
        <w:gridCol w:w="891"/>
        <w:gridCol w:w="771"/>
        <w:gridCol w:w="591"/>
        <w:gridCol w:w="300"/>
        <w:gridCol w:w="276"/>
        <w:gridCol w:w="711"/>
        <w:gridCol w:w="906"/>
        <w:gridCol w:w="801"/>
        <w:gridCol w:w="891"/>
        <w:gridCol w:w="801"/>
        <w:gridCol w:w="801"/>
        <w:gridCol w:w="936"/>
        <w:gridCol w:w="831"/>
        <w:gridCol w:w="846"/>
      </w:tblGrid>
      <w:tr>
        <w:trPr>
          <w:tblHeader w:val="true"/>
        </w:trPr>
        <w:tc>
          <w:tcPr>
            <w:tcW w:w="12194" w:type="dxa"/>
            <w:gridSpan w:val="16"/>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val="false"/>
                <w:sz w:val="24"/>
              </w:rPr>
            </w:pPr>
            <w:r>
              <w:rPr>
                <w:rFonts w:ascii="arial;helvetica;sans-serif" w:hAnsi="arial;helvetica;sans-serif"/>
                <w:b/>
                <w:sz w:val="24"/>
              </w:rPr>
              <w:t>Table II - Derivative Securities Acquired, Disposed of, or Beneficially Owned</w:t>
            </w:r>
            <w:r>
              <w:rPr>
                <w:rFonts w:ascii="arial;helvetica;sans-serif" w:hAnsi="arial;helvetica;sans-serif"/>
                <w:b w:val="false"/>
                <w:sz w:val="24"/>
              </w:rPr>
              <w:br/>
            </w:r>
            <w:r>
              <w:rPr>
                <w:rFonts w:ascii="arial;helvetica;sans-serif" w:hAnsi="arial;helvetica;sans-serif"/>
                <w:b/>
                <w:sz w:val="24"/>
              </w:rPr>
              <w:t>(e.g., puts, calls, warrants, options, convertible securities)</w:t>
            </w:r>
            <w:r>
              <w:rPr>
                <w:rFonts w:ascii="arial;helvetica;sans-serif" w:hAnsi="arial;helvetica;sans-serif"/>
                <w:b w:val="false"/>
                <w:sz w:val="24"/>
              </w:rPr>
              <w:t xml:space="preserve"> </w:t>
            </w:r>
          </w:p>
        </w:tc>
      </w:tr>
      <w:tr>
        <w:trPr>
          <w:tblHeader w:val="true"/>
        </w:trPr>
        <w:tc>
          <w:tcPr>
            <w:tcW w:w="980"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 Title of Derivative Security (Instr. 3) </w:t>
            </w:r>
          </w:p>
        </w:tc>
        <w:tc>
          <w:tcPr>
            <w:tcW w:w="86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2. Conversion or Exercise Price of Derivative Security </w:t>
            </w:r>
          </w:p>
        </w:tc>
        <w:tc>
          <w:tcPr>
            <w:tcW w:w="89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 Transaction Date (Month/Day/Year)</w:t>
            </w:r>
          </w:p>
        </w:tc>
        <w:tc>
          <w:tcPr>
            <w:tcW w:w="77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3A. Deemed Execution Date, if any (Month/Day/Year)</w:t>
            </w:r>
          </w:p>
        </w:tc>
        <w:tc>
          <w:tcPr>
            <w:tcW w:w="89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Transaction Code (Instr. 8) </w:t>
            </w:r>
          </w:p>
        </w:tc>
        <w:tc>
          <w:tcPr>
            <w:tcW w:w="987"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Number of Derivative Securities Acquired (A) or Disposed of (D) (Instr. 3, 4 and 5) </w:t>
            </w:r>
          </w:p>
        </w:tc>
        <w:tc>
          <w:tcPr>
            <w:tcW w:w="1707"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6. Date Exercisable and Expiration Date (Month/Day/Year)</w:t>
            </w:r>
          </w:p>
        </w:tc>
        <w:tc>
          <w:tcPr>
            <w:tcW w:w="1692"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Title and Amount of Securities Underlying Derivative Security (Instr. 3 and 4) </w:t>
            </w:r>
          </w:p>
        </w:tc>
        <w:tc>
          <w:tcPr>
            <w:tcW w:w="80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8. Price of Derivative Security (Instr. 5) </w:t>
            </w:r>
          </w:p>
        </w:tc>
        <w:tc>
          <w:tcPr>
            <w:tcW w:w="93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9. Number of derivative Securities Beneficially Owned Following Reported Transaction(s) (Instr. 4) </w:t>
            </w:r>
          </w:p>
        </w:tc>
        <w:tc>
          <w:tcPr>
            <w:tcW w:w="83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10. Ownership Form: Direct (D) or Indirect (I) (Instr. 4) </w:t>
            </w:r>
          </w:p>
        </w:tc>
        <w:tc>
          <w:tcPr>
            <w:tcW w:w="84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11. Nature of Indirect Beneficial Ownership (Instr. 4) </w:t>
            </w:r>
          </w:p>
        </w:tc>
      </w:tr>
      <w:tr>
        <w:trPr>
          <w:tblHeader w:val="true"/>
        </w:trPr>
        <w:tc>
          <w:tcPr>
            <w:tcW w:w="980"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86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9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77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59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00"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27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w:t>
            </w:r>
          </w:p>
        </w:tc>
        <w:tc>
          <w:tcPr>
            <w:tcW w:w="71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w:t>
            </w:r>
          </w:p>
        </w:tc>
        <w:tc>
          <w:tcPr>
            <w:tcW w:w="90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Date Exercisable</w:t>
            </w:r>
          </w:p>
        </w:tc>
        <w:tc>
          <w:tcPr>
            <w:tcW w:w="80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Expiration Date</w:t>
            </w:r>
          </w:p>
        </w:tc>
        <w:tc>
          <w:tcPr>
            <w:tcW w:w="89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Title</w:t>
            </w:r>
          </w:p>
        </w:tc>
        <w:tc>
          <w:tcPr>
            <w:tcW w:w="80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 or Number of Shares</w:t>
            </w:r>
          </w:p>
        </w:tc>
        <w:tc>
          <w:tcPr>
            <w:tcW w:w="80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36"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3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46" w:type="dxa"/>
            <w:vMerge w:val="continue"/>
            <w:tcBorders>
              <w:left w:val="single" w:sz="2" w:space="0" w:color="808080"/>
              <w:bottom w:val="single" w:sz="2" w:space="0" w:color="808080"/>
              <w:right w:val="single" w:sz="6" w:space="0" w:color="808080"/>
            </w:tcBorders>
          </w:tcPr>
          <w:p>
            <w:pPr>
              <w:pStyle w:val="Normal"/>
              <w:bidi w:val="0"/>
              <w:jc w:val="left"/>
              <w:rPr/>
            </w:pPr>
            <w:r>
              <w:rPr/>
            </w:r>
          </w:p>
        </w:tc>
      </w:tr>
      <w:tr>
        <w:trPr/>
        <w:tc>
          <w:tcPr>
            <w:tcW w:w="980"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rFonts w:ascii="Times;serif" w:hAnsi="Times;serif"/>
                <w:color w:val="0000FF"/>
                <w:sz w:val="20"/>
                <w:shd w:fill="FFFFFF" w:val="clear"/>
              </w:rPr>
            </w:pPr>
            <w:r>
              <w:rPr>
                <w:rFonts w:ascii="Times;serif" w:hAnsi="Times;serif"/>
                <w:color w:val="0000FF"/>
                <w:sz w:val="20"/>
                <w:shd w:fill="FFFFFF" w:val="clear"/>
              </w:rPr>
              <w:t>Employee Stock Option (Right to buy)</w:t>
            </w:r>
          </w:p>
        </w:tc>
        <w:tc>
          <w:tcPr>
            <w:tcW w:w="86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pPr>
            <w:r>
              <w:rPr>
                <w:rFonts w:ascii="arial;helvetica;sans-serif" w:hAnsi="arial;helvetica;sans-serif"/>
                <w:sz w:val="14"/>
              </w:rPr>
              <w:t>$</w:t>
            </w:r>
            <w:r>
              <w:rPr>
                <w:rFonts w:ascii="Times;serif" w:hAnsi="Times;serif"/>
                <w:color w:val="0000FF"/>
                <w:sz w:val="20"/>
                <w:shd w:fill="FFFFFF" w:val="clear"/>
              </w:rPr>
              <w:t>17.5</w:t>
            </w:r>
            <w:r>
              <w:rPr/>
              <w:t xml:space="preserve"> </w:t>
            </w:r>
          </w:p>
        </w:tc>
        <w:tc>
          <w:tcPr>
            <w:tcW w:w="89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11/07/2024</w:t>
            </w:r>
          </w:p>
        </w:tc>
        <w:tc>
          <w:tcPr>
            <w:tcW w:w="77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59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M</w:t>
            </w:r>
          </w:p>
        </w:tc>
        <w:tc>
          <w:tcPr>
            <w:tcW w:w="300"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27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1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20,000</w:t>
            </w:r>
          </w:p>
        </w:tc>
        <w:tc>
          <w:tcPr>
            <w:tcW w:w="906"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8000"/>
                <w:position w:val="7"/>
                <w:sz w:val="16"/>
                <w:sz w:val="20"/>
                <w:shd w:fill="FFFFFF" w:val="clear"/>
              </w:rPr>
              <w:t>(2)</w:t>
            </w:r>
            <w:r>
              <w:rPr/>
              <w:t xml:space="preserve"> </w:t>
            </w:r>
          </w:p>
        </w:tc>
        <w:tc>
          <w:tcPr>
            <w:tcW w:w="80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11/10/2032</w:t>
            </w:r>
          </w:p>
        </w:tc>
        <w:tc>
          <w:tcPr>
            <w:tcW w:w="89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Class A Common Stock</w:t>
            </w:r>
          </w:p>
        </w:tc>
        <w:tc>
          <w:tcPr>
            <w:tcW w:w="80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20,000</w:t>
            </w:r>
          </w:p>
        </w:tc>
        <w:tc>
          <w:tcPr>
            <w:tcW w:w="80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pPr>
            <w:r>
              <w:rPr>
                <w:rFonts w:ascii="arial;helvetica;sans-serif" w:hAnsi="arial;helvetica;sans-serif"/>
                <w:sz w:val="14"/>
              </w:rPr>
              <w:t>$</w:t>
            </w:r>
            <w:r>
              <w:rPr>
                <w:rFonts w:ascii="Times;serif" w:hAnsi="Times;serif"/>
                <w:color w:val="0000FF"/>
                <w:sz w:val="20"/>
                <w:shd w:fill="FFFFFF" w:val="clear"/>
              </w:rPr>
              <w:t>0</w:t>
            </w:r>
            <w:r>
              <w:rPr/>
              <w:t xml:space="preserve"> </w:t>
            </w:r>
          </w:p>
        </w:tc>
        <w:tc>
          <w:tcPr>
            <w:tcW w:w="936"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168,000</w:t>
            </w:r>
            <w:r>
              <w:rPr>
                <w:rFonts w:ascii="Times;serif" w:hAnsi="Times;serif"/>
                <w:color w:val="008000"/>
                <w:position w:val="7"/>
                <w:sz w:val="16"/>
                <w:sz w:val="20"/>
                <w:shd w:fill="FFFFFF" w:val="clear"/>
              </w:rPr>
              <w:t>(3)</w:t>
            </w:r>
            <w:r>
              <w:rPr/>
              <w:t xml:space="preserve"> </w:t>
            </w:r>
          </w:p>
        </w:tc>
        <w:tc>
          <w:tcPr>
            <w:tcW w:w="83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D</w:t>
            </w:r>
          </w:p>
        </w:tc>
        <w:tc>
          <w:tcPr>
            <w:tcW w:w="84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r>
    </w:tbl>
    <w:tbl>
      <w:tblPr>
        <w:tblW w:w="5000" w:type="pct"/>
        <w:jc w:val="left"/>
        <w:tblInd w:w="0" w:type="dxa"/>
        <w:tblLayout w:type="fixed"/>
        <w:tblCellMar>
          <w:top w:w="28" w:type="dxa"/>
          <w:left w:w="28" w:type="dxa"/>
          <w:bottom w:w="28" w:type="dxa"/>
          <w:right w:w="28" w:type="dxa"/>
        </w:tblCellMar>
      </w:tblPr>
      <w:tblGrid>
        <w:gridCol w:w="10205"/>
      </w:tblGrid>
      <w:tr>
        <w:trPr/>
        <w:tc>
          <w:tcPr>
            <w:tcW w:w="10205" w:type="dxa"/>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Explanation of Responses:</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 The reported price is a weighted average price. These shares were sold in multiple transactions at prices ranging from $271.50 to $272.47,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2. The 20,000 shares exercised on November 7, 2024 pursuant to this option vested on November 10, 2023. Of the remaining 168,000 shares subject to this option, 18,000 shares vested on November 10, 2023, 50,000 shares vested on November 10, 2024, 50,000 shares are scheduled to vest on November 10, 2025, and 50,000 shares are scheduled to vest on November 10, 2026.</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3. See Exhibit A.</w:t>
            </w:r>
          </w:p>
        </w:tc>
      </w:tr>
    </w:tbl>
    <w:tbl>
      <w:tblPr>
        <w:tblW w:w="5000" w:type="pct"/>
        <w:jc w:val="left"/>
        <w:tblInd w:w="0" w:type="dxa"/>
        <w:tblLayout w:type="fixed"/>
        <w:tblCellMar>
          <w:top w:w="28" w:type="dxa"/>
          <w:left w:w="28" w:type="dxa"/>
          <w:bottom w:w="28" w:type="dxa"/>
          <w:right w:w="28" w:type="dxa"/>
        </w:tblCellMar>
      </w:tblPr>
      <w:tblGrid>
        <w:gridCol w:w="6123"/>
        <w:gridCol w:w="2041"/>
        <w:gridCol w:w="2041"/>
      </w:tblGrid>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/s/ Joseph Phillips, Attorney-in-Fact</w:t>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11/12/2024</w:t>
            </w:r>
          </w:p>
        </w:tc>
      </w:tr>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Signature of Reporting Person</w:t>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Date</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Reminder: Report on a separate line for each class of securities beneficially owned directly or indirectly.</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If the form is filed by more than one reporting person, </w:t>
            </w:r>
            <w:r>
              <w:rPr>
                <w:rFonts w:ascii="arial;helvetica;sans-serif" w:hAnsi="arial;helvetica;sans-serif"/>
                <w:i/>
                <w:sz w:val="20"/>
              </w:rPr>
              <w:t>see</w:t>
            </w:r>
            <w:r>
              <w:rPr>
                <w:rFonts w:ascii="arial;helvetica;sans-serif" w:hAnsi="arial;helvetica;sans-serif"/>
                <w:sz w:val="20"/>
              </w:rPr>
              <w:t xml:space="preserve"> Instruction 4 (b)(v).</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Intentional misstatements or omissions of facts constitute Federal Criminal Violations </w:t>
            </w:r>
            <w:r>
              <w:rPr>
                <w:rFonts w:ascii="arial;helvetica;sans-serif" w:hAnsi="arial;helvetica;sans-serif"/>
                <w:i/>
                <w:sz w:val="20"/>
              </w:rPr>
              <w:t>See</w:t>
            </w:r>
            <w:r>
              <w:rPr>
                <w:rFonts w:ascii="arial;helvetica;sans-serif" w:hAnsi="arial;helvetica;sans-serif"/>
                <w:sz w:val="20"/>
              </w:rPr>
              <w:t xml:space="preserve"> 18 U.S.C. 1001 and 15 U.S.C. 78ff(a).</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Note: File three copies of this Form, one of which must be manually signed. If space is insufficient, </w:t>
            </w:r>
            <w:r>
              <w:rPr>
                <w:rFonts w:ascii="arial;helvetica;sans-serif" w:hAnsi="arial;helvetica;sans-serif"/>
                <w:i/>
                <w:sz w:val="20"/>
              </w:rPr>
              <w:t>see</w:t>
            </w:r>
            <w:r>
              <w:rPr>
                <w:rFonts w:ascii="arial;helvetica;sans-serif" w:hAnsi="arial;helvetica;sans-serif"/>
                <w:sz w:val="20"/>
              </w:rPr>
              <w:t xml:space="preserve"> Instruction 6 for procedure.</w:t>
            </w:r>
          </w:p>
        </w:tc>
      </w:tr>
      <w:tr>
        <w:trPr/>
        <w:tc>
          <w:tcPr>
            <w:tcW w:w="10205" w:type="dxa"/>
            <w:gridSpan w:val="3"/>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Persons who respond to the collection of information contained in this form are not required to respond unless the form displays a currently valid OMB Number.</w:t>
            </w:r>
          </w:p>
        </w:tc>
      </w:tr>
    </w:tbl>
    <w:p>
      <w:pPr>
        <w:pStyle w:val="TextBody"/>
        <w:bidi w:val="0"/>
        <w:spacing w:before="0" w:after="160"/>
        <w:jc w:val="left"/>
        <w:rPr>
          <w:rFonts w:ascii="Aptos;sans-serif" w:hAnsi="Aptos;sans-serif"/>
          <w:color w:val="000000"/>
          <w:sz w:val="22"/>
        </w:rPr>
      </w:pPr>
      <w:bookmarkStart w:id="2" w:name="mstr-ex99.htm"/>
      <w:bookmarkStart w:id="3" w:name="ksmstrex99"/>
      <w:bookmarkEnd w:id="2"/>
      <w:bookmarkEnd w:id="3"/>
      <w:r>
        <w:rPr>
          <w:rFonts w:ascii="Aptos;sans-serif" w:hAnsi="Aptos;sans-serif"/>
          <w:color w:val="000000"/>
          <w:sz w:val="22"/>
        </w:rPr>
        <w:t>Exhibit A:</w:t>
      </w:r>
      <w:r>
        <w:br w:type="page"/>
      </w:r>
    </w:p>
    <w:p>
      <w:pPr>
        <w:pStyle w:val="TextBody"/>
        <w:bidi w:val="0"/>
        <w:spacing w:before="0" w:after="160"/>
        <w:jc w:val="left"/>
        <w:rPr>
          <w:rFonts w:ascii="Times New Roman" w:hAnsi="Times New Roman"/>
          <w:sz w:val="20"/>
        </w:rPr>
      </w:pPr>
      <w:r>
        <w:rPr>
          <w:rFonts w:ascii="Aptos;sans-serif" w:hAnsi="Aptos;sans-serif"/>
          <w:color w:val="000000"/>
          <w:sz w:val="22"/>
        </w:rPr>
        <w:t>Mr. Shao also directly owns an employee stock option to purchase 200,000 shares of Class A Common Stock with (i) an exercise price of $69.123 per share and (ii) an expiration date of February 23, 2031. Of the 200,000 shares subject to this option, 50,000 shares vested on February 23, 2022, 50,000 shares vested on February 23, 2023, 50,000 shares vested on February 23, 2024, and 50,000 shares are scheduled to vest on February 23, 2025.</w:t>
      </w:r>
      <w:r>
        <w:rPr>
          <w:rFonts w:ascii="Times New Roman" w:hAnsi="Times New Roman"/>
          <w:color w:val="000000"/>
          <w:sz w:val="20"/>
        </w:rPr>
        <w:t xml:space="preserve"> </w:t>
      </w:r>
    </w:p>
    <w:p>
      <w:pPr>
        <w:pStyle w:val="TextBody"/>
        <w:bidi w:val="0"/>
        <w:spacing w:before="0" w:after="160"/>
        <w:jc w:val="left"/>
        <w:rPr>
          <w:rFonts w:ascii="Times New Roman" w:hAnsi="Times New Roman"/>
          <w:sz w:val="20"/>
        </w:rPr>
      </w:pPr>
      <w:r>
        <w:rPr>
          <w:rFonts w:ascii="Aptos;sans-serif" w:hAnsi="Aptos;sans-serif"/>
          <w:color w:val="000000"/>
          <w:sz w:val="22"/>
        </w:rPr>
        <w:t>Mr. Shao also directly owns an employee stock option to purchase 200,000 shares of Class A Common Stock with (i) an exercise price of $40.46 per share and (ii) an expiration date of February 17, 2032. Of the 200,000 shares subject to this option, 50,000 shares vested on February 17, 2023, 50,000 shares vested on February 17, 2024, 50,000 shares are scheduled to vest on February 17, 2025, and 50,000 shares are scheduled to vest on February 17, 2026.</w:t>
      </w:r>
      <w:r>
        <w:rPr>
          <w:rFonts w:ascii="Times New Roman" w:hAnsi="Times New Roman"/>
          <w:color w:val="000000"/>
          <w:sz w:val="20"/>
        </w:rPr>
        <w:t xml:space="preserve"> </w:t>
      </w:r>
    </w:p>
    <w:p>
      <w:pPr>
        <w:pStyle w:val="TextBody"/>
        <w:bidi w:val="0"/>
        <w:spacing w:before="0" w:after="160"/>
        <w:jc w:val="left"/>
        <w:rPr>
          <w:rFonts w:ascii="Times New Roman" w:hAnsi="Times New Roman"/>
          <w:sz w:val="20"/>
        </w:rPr>
      </w:pPr>
      <w:r>
        <w:rPr>
          <w:rFonts w:ascii="Aptos;sans-serif" w:hAnsi="Aptos;sans-serif"/>
          <w:color w:val="000000"/>
          <w:sz w:val="22"/>
        </w:rPr>
        <w:t>Mr. Shao also directly owns an employee stock option to purchase 5,730 shares of Class A Common Stock with (i) an exercise price of $159.929 per share and (ii) an expiration date of March 21, 2034. Of the 5,730 shares subject to this option, 1,430 shares are scheduled to vest on March 21, 2025, 1,430 shares are scheduled to vest on March 21, 2026, 1,430 shares are scheduled to vest on March 21, 2027, and 1,440 shares are scheduled to vest on March 21, 2028.</w:t>
      </w:r>
      <w:r>
        <w:rPr>
          <w:rFonts w:ascii="Times New Roman" w:hAnsi="Times New Roman"/>
          <w:color w:val="000000"/>
          <w:sz w:val="20"/>
        </w:rPr>
        <w:t xml:space="preserve"> </w:t>
      </w:r>
    </w:p>
    <w:p>
      <w:pPr>
        <w:pStyle w:val="TextBody"/>
        <w:bidi w:val="0"/>
        <w:spacing w:before="0" w:after="160"/>
        <w:jc w:val="left"/>
        <w:rPr>
          <w:rFonts w:ascii="Times New Roman" w:hAnsi="Times New Roman"/>
          <w:sz w:val="20"/>
        </w:rPr>
      </w:pPr>
      <w:r>
        <w:rPr>
          <w:rFonts w:ascii="Aptos;sans-serif" w:hAnsi="Aptos;sans-serif"/>
          <w:color w:val="000000"/>
          <w:sz w:val="22"/>
        </w:rPr>
        <w:t>Mr. Shao also directly owns restricted stock units with the contingent right to receive 2,500 shares of Class A Common Stock. These 2,500 shares are scheduled to vest on November 13, 2024.</w:t>
      </w:r>
      <w:r>
        <w:rPr>
          <w:rFonts w:ascii="Times New Roman" w:hAnsi="Times New Roman"/>
          <w:color w:val="000000"/>
          <w:sz w:val="20"/>
        </w:rPr>
        <w:t xml:space="preserve"> </w:t>
      </w:r>
    </w:p>
    <w:p>
      <w:pPr>
        <w:pStyle w:val="TextBody"/>
        <w:bidi w:val="0"/>
        <w:spacing w:before="0" w:after="160"/>
        <w:jc w:val="left"/>
        <w:rPr>
          <w:rFonts w:ascii="Times New Roman" w:hAnsi="Times New Roman"/>
          <w:sz w:val="20"/>
        </w:rPr>
      </w:pPr>
      <w:r>
        <w:rPr>
          <w:rFonts w:ascii="Aptos;sans-serif" w:hAnsi="Aptos;sans-serif"/>
          <w:color w:val="000000"/>
          <w:sz w:val="22"/>
        </w:rPr>
        <w:t>Mr. Shao also directly owns restricted stock units with the contingent right to receive 19,970 shares of Class A Common Stock. Of these 19,970 shares, 4,990 shares are scheduled to vest on March 21, 2025, 4,990 shares are scheduled to vest on March 21, 2026, 4,990 shares are scheduled to vest on March 21, 2027, and 5,000 shares are scheduled to vest on March 21, 2028.</w:t>
      </w:r>
      <w:r>
        <w:rPr>
          <w:rFonts w:ascii="Times New Roman" w:hAnsi="Times New Roman"/>
          <w:color w:val="000000"/>
          <w:sz w:val="20"/>
        </w:rPr>
        <w:t xml:space="preserve"> </w:t>
      </w:r>
    </w:p>
    <w:p>
      <w:pPr>
        <w:pStyle w:val="TextBody"/>
        <w:bidi w:val="0"/>
        <w:spacing w:before="0" w:after="160"/>
        <w:jc w:val="left"/>
        <w:rPr>
          <w:rFonts w:ascii="Times New Roman" w:hAnsi="Times New Roman"/>
          <w:sz w:val="20"/>
        </w:rPr>
      </w:pPr>
      <w:r>
        <w:rPr>
          <w:rFonts w:ascii="Aptos;sans-serif" w:hAnsi="Aptos;sans-serif"/>
          <w:color w:val="000000"/>
          <w:sz w:val="22"/>
        </w:rPr>
        <w:t>Mr. Shao also directly owns restricted stock units with the contingent right to receive 11,500 shares of Class A Common Stock. Of these 11,500 shares, 3,830 shares are scheduled to vest on June 5, 2025, 3,830 shares are scheduled to vest on June 5, 2026, and 3,840 shares are scheduled to vest on June 5, 2027.</w:t>
      </w:r>
      <w:r>
        <w:rPr>
          <w:rFonts w:ascii="Times New Roman" w:hAnsi="Times New Roman"/>
          <w:color w:val="000000"/>
          <w:sz w:val="20"/>
        </w:rPr>
        <w:t xml:space="preserve"> </w:t>
      </w:r>
    </w:p>
    <w:p>
      <w:pPr>
        <w:pStyle w:val="TextBody"/>
        <w:bidi w:val="0"/>
        <w:spacing w:before="0" w:after="160"/>
        <w:jc w:val="left"/>
        <w:rPr>
          <w:rFonts w:ascii="Times New Roman" w:hAnsi="Times New Roman"/>
          <w:sz w:val="20"/>
        </w:rPr>
      </w:pPr>
      <w:r>
        <w:rPr>
          <w:rFonts w:ascii="Aptos;sans-serif" w:hAnsi="Aptos;sans-serif"/>
          <w:color w:val="000000"/>
          <w:sz w:val="22"/>
        </w:rPr>
        <w:t>Mr. Shao also directly owns 30,650 performance stock units (PSUs) granted on June 5, 2023.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(June 1, 2023 to May 31, 2026). Vesting is subject to certification by MicroStrategy's Compensation Committee of the level of achievement of the performance goal and the participant's continued service through that date. The "target" number of PSUs is reported in this Exhibit A.</w:t>
      </w:r>
      <w:r>
        <w:rPr>
          <w:rFonts w:ascii="Times New Roman" w:hAnsi="Times New Roman"/>
          <w:color w:val="000000"/>
          <w:sz w:val="20"/>
        </w:rPr>
        <w:t xml:space="preserve"> </w:t>
      </w:r>
    </w:p>
    <w:p>
      <w:pPr>
        <w:pStyle w:val="TextBody"/>
        <w:bidi w:val="0"/>
        <w:spacing w:before="0" w:after="160"/>
        <w:jc w:val="left"/>
        <w:rPr>
          <w:rFonts w:ascii="Times New Roman" w:hAnsi="Times New Roman"/>
          <w:sz w:val="20"/>
        </w:rPr>
      </w:pPr>
      <w:r>
        <w:rPr>
          <w:rFonts w:ascii="Aptos;sans-serif" w:hAnsi="Aptos;sans-serif"/>
          <w:color w:val="000000"/>
          <w:sz w:val="22"/>
        </w:rPr>
        <w:t>Mr. Shao also directly owns 4,000 performance stock units (PSUs) granted on March 21, 2024.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(March 21, 2024 to March 20, 2027). Vesting is subject to certification by MicroStrategy's Compensation Committee of the level</w:t>
      </w:r>
      <w:r>
        <w:rPr>
          <w:rFonts w:ascii="Times New Roman" w:hAnsi="Times New Roman"/>
          <w:color w:val="000000"/>
          <w:sz w:val="20"/>
        </w:rPr>
        <w:t xml:space="preserve"> </w:t>
      </w:r>
    </w:p>
    <w:p>
      <w:pPr>
        <w:pStyle w:val="HorizontalLine"/>
        <w:pBdr>
          <w:bottom w:val="double" w:sz="2" w:space="0" w:color="808080"/>
        </w:pBdr>
        <w:bidi w:val="0"/>
        <w:spacing w:before="0" w:after="283"/>
        <w:jc w:val="left"/>
        <w:rPr/>
      </w:pPr>
      <w:r>
        <w:rPr/>
      </w:r>
    </w:p>
    <w:p>
      <w:pPr>
        <w:pStyle w:val="TextBody"/>
        <w:bidi w:val="0"/>
        <w:spacing w:before="0" w:after="160"/>
        <w:jc w:val="left"/>
        <w:rPr>
          <w:rFonts w:ascii="Aptos;sans-serif" w:hAnsi="Aptos;sans-serif"/>
          <w:color w:val="000000"/>
          <w:sz w:val="22"/>
        </w:rPr>
      </w:pPr>
      <w:r>
        <w:rPr>
          <w:rFonts w:ascii="Aptos;sans-serif" w:hAnsi="Aptos;sans-serif"/>
          <w:color w:val="000000"/>
          <w:sz w:val="22"/>
        </w:rPr>
        <w:t>of achievement of the performance goal and the participant's continued service through that date. The "target" number of PSUs is reported in this Exhibit A.</w:t>
      </w:r>
    </w:p>
    <w:p>
      <w:pPr>
        <w:pStyle w:val="TextBody"/>
        <w:bidi w:val="0"/>
        <w:spacing w:before="0" w:after="160"/>
        <w:jc w:val="left"/>
        <w:rPr/>
      </w:pPr>
      <w:r>
        <w:rPr/>
        <w:t> </w:t>
      </w:r>
    </w:p>
    <w:p>
      <w:pPr>
        <w:pStyle w:val="HorizontalLine"/>
        <w:pBdr>
          <w:bottom w:val="double" w:sz="2" w:space="0" w:color="808080"/>
        </w:pBdr>
        <w:bidi w:val="0"/>
        <w:spacing w:before="0" w:after="283"/>
        <w:jc w:val="left"/>
        <w:rPr/>
      </w:pPr>
      <w:r>
        <w:rPr/>
      </w:r>
    </w:p>
    <w:sectPr>
      <w:type w:val="nextPage"/>
      <w:pgSz w:w="11906" w:h="16838"/>
      <w:pgMar w:left="1134" w:right="567" w:gutter="0" w:header="0" w:top="567" w:footer="0" w:bottom="56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Unicode MS">
    <w:charset w:val="01"/>
    <w:family w:val="auto"/>
    <w:pitch w:val="variable"/>
  </w:font>
  <w:font w:name="Liberation Sans">
    <w:altName w:val="Arial"/>
    <w:charset w:val="01"/>
    <w:family w:val="swiss"/>
    <w:pitch w:val="variable"/>
  </w:font>
  <w:font w:name="arial">
    <w:altName w:val="helvetica"/>
    <w:charset w:val="01"/>
    <w:family w:val="auto"/>
    <w:pitch w:val="default"/>
  </w:font>
  <w:font w:name="Times">
    <w:altName w:val="Times New Roman"/>
    <w:charset w:val="01"/>
    <w:family w:val="auto"/>
    <w:pitch w:val="default"/>
  </w:font>
  <w:font w:name="Aptos">
    <w:altName w:val="sans-serif"/>
    <w:charset w:val="01"/>
    <w:family w:val="auto"/>
    <w:pitch w:val="default"/>
  </w:font>
  <w:font w:name="Times New Roman">
    <w:charset w:val="01"/>
    <w:family w:val="auto"/>
    <w:pitch w:val="default"/>
  </w:font>
</w:fonts>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Devanagari"/>
        <w:sz w:val="24"/>
        <w:szCs w:val="24"/>
        <w:lang w:val="en-US"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Tahoma" w:cs="Noto Sans Devanagari"/>
      <w:color w:val="auto"/>
      <w:sz w:val="24"/>
      <w:szCs w:val="24"/>
      <w:lang w:val="en-US" w:eastAsia="zh-CN" w:bidi="hi-IN"/>
    </w:rPr>
  </w:style>
  <w:style w:type="paragraph" w:styleId="Heading1">
    <w:name w:val="Heading 1"/>
    <w:basedOn w:val="Heading"/>
    <w:next w:val="TextBody"/>
    <w:qFormat/>
    <w:pPr/>
    <w:rPr>
      <w:rFonts w:ascii="Liberation Sans Unicode MS" w:hAnsi="Liberation Sans Unicode MS"/>
      <w:b/>
      <w:bCs/>
      <w:sz w:val="48"/>
      <w:szCs w:val="44"/>
    </w:rPr>
  </w:style>
  <w:style w:type="character" w:styleId="EndnoteCharacters">
    <w:name w:val="Endnote Characters"/>
    <w:qFormat/>
    <w:rPr/>
  </w:style>
  <w:style w:type="character" w:styleId="FootnoteCharacters">
    <w:name w:val="Footnote Characters"/>
    <w:qFormat/>
    <w:rPr/>
  </w:style>
  <w:style w:type="character" w:styleId="InternetLink">
    <w:name w:val="Hyperlink"/>
    <w:rPr>
      <w:color w:val="000080"/>
      <w:u w:val="single"/>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TextBody">
    <w:name w:val="Body Text"/>
    <w:basedOn w:val="Normal"/>
    <w:pPr>
      <w:spacing w:before="0" w:after="283"/>
    </w:pPr>
    <w:rPr/>
  </w:style>
  <w:style w:type="paragraph" w:styleId="Sender">
    <w:name w:val="Envelope Return"/>
    <w:basedOn w:val="Normal"/>
    <w:pPr/>
    <w:rPr>
      <w:i/>
    </w:rPr>
  </w:style>
  <w:style w:type="paragraph" w:styleId="TableContents">
    <w:name w:val="Table Contents"/>
    <w:basedOn w:val="TextBody"/>
    <w:qFormat/>
    <w:pPr/>
    <w:rPr/>
  </w:style>
  <w:style w:type="paragraph" w:styleId="HeaderandFooter">
    <w:name w:val="Header and Footer"/>
    <w:basedOn w:val="Normal"/>
    <w:qFormat/>
    <w:pPr>
      <w:suppressLineNumbers/>
      <w:tabs>
        <w:tab w:val="clear" w:pos="1134"/>
        <w:tab w:val="center" w:pos="4819" w:leader="none"/>
        <w:tab w:val="right" w:pos="9638" w:leader="none"/>
      </w:tabs>
    </w:pPr>
    <w:rPr/>
  </w:style>
  <w:style w:type="paragraph" w:styleId="Footer">
    <w:name w:val="Footer"/>
    <w:basedOn w:val="Normal"/>
    <w:pPr>
      <w:suppressLineNumbers/>
      <w:tabs>
        <w:tab w:val="clear" w:pos="1134"/>
        <w:tab w:val="center" w:pos="4818" w:leader="none"/>
        <w:tab w:val="right" w:pos="9637" w:leader="none"/>
      </w:tabs>
    </w:pPr>
    <w:rPr/>
  </w:style>
  <w:style w:type="paragraph" w:styleId="Header">
    <w:name w:val="Header"/>
    <w:basedOn w:val="Normal"/>
    <w:pPr>
      <w:suppressLineNumbers/>
      <w:tabs>
        <w:tab w:val="clear" w:pos="1134"/>
        <w:tab w:val="center" w:pos="4818" w:leader="none"/>
        <w:tab w:val="right" w:pos="9637" w:leader="none"/>
      </w:tabs>
    </w:pPr>
    <w:rPr/>
  </w:style>
  <w:style w:type="paragraph" w:styleId="Heading">
    <w:name w:val="Heading"/>
    <w:basedOn w:val="Normal"/>
    <w:next w:val="TextBody"/>
    <w:qFormat/>
    <w:pPr>
      <w:keepNext w:val="true"/>
      <w:spacing w:before="240" w:after="283"/>
    </w:pPr>
    <w:rPr>
      <w:rFonts w:ascii="Liberation Sans" w:hAnsi="Liberation Sans"/>
      <w:sz w:val="28"/>
      <w:szCs w:val="28"/>
    </w:rPr>
  </w:style>
  <w:style w:type="paragraph" w:styleId="Index">
    <w:name w:val="Index"/>
    <w:basedOn w:val="Normal"/>
    <w:qFormat/>
    <w:pPr>
      <w:suppressLineNumbers/>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List">
    <w:name w:val="List"/>
    <w:basedOn w:val="TextBody"/>
    <w:pPr/>
    <w:rPr>
      <w:rFonts w:cs="Noto Sans Devanagari"/>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https://cdn.kscope.io/box-unchecked.jpg" TargetMode="External"/><Relationship Id="rId3" Type="http://schemas.openxmlformats.org/officeDocument/2006/relationships/image" Target="https://cdn.kscope.io/box-unchecked.jpg" TargetMode="External"/><Relationship Id="rId4" Type="http://schemas.openxmlformats.org/officeDocument/2006/relationships/hyperlink" Target="http://www.sec.gov/cgi-bin/browse-edgar?action=getcompany&amp;CIK=0001663488" TargetMode="External"/><Relationship Id="rId5" Type="http://schemas.openxmlformats.org/officeDocument/2006/relationships/hyperlink" Target="http://www.sec.gov/cgi-bin/browse-edgar?action=getcompany&amp;CIK=0001050446" TargetMode="External"/><Relationship Id="rId6" Type="http://schemas.openxmlformats.org/officeDocument/2006/relationships/image" Target="https://cdn.kscope.io/box-checked.jpg" TargetMode="External"/><Relationship Id="rId7" Type="http://schemas.openxmlformats.org/officeDocument/2006/relationships/image" Target="https://cdn.kscope.io/box-checked.jpg" TargetMode="Externa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LibreOffice/7.3.7.2$Linux_X86_64 LibreOffice_project/30$Build-2</Application>
  <AppVersion>15.0000</AppVersion>
  <Pages>2</Pages>
  <Words>1357</Words>
  <Characters>7000</Characters>
  <CharactersWithSpaces>8278</CharactersWithSpaces>
  <Paragraphs>129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